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741" w:rsidRPr="009C1B90" w:rsidRDefault="00947935" w:rsidP="008E6741">
      <w:pPr>
        <w:pStyle w:val="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bCs/>
          <w:color w:val="008000"/>
          <w:kern w:val="36"/>
          <w:lang w:eastAsia="ru-RU"/>
        </w:rPr>
      </w:pPr>
      <w:r w:rsidRPr="0094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8E6741" w:rsidRPr="009C1B90">
        <w:rPr>
          <w:rFonts w:ascii="Times New Roman" w:eastAsia="Times New Roman" w:hAnsi="Times New Roman" w:cs="Times New Roman"/>
          <w:b/>
          <w:bCs/>
          <w:color w:val="auto"/>
          <w:kern w:val="36"/>
          <w:lang w:eastAsia="ru-RU"/>
        </w:rPr>
        <w:t>Использование блоков Дьенеша и палочек Кюизенера в развитии элементарных математичес</w:t>
      </w:r>
      <w:r w:rsidR="009C1B90" w:rsidRPr="009C1B90">
        <w:rPr>
          <w:rFonts w:ascii="Times New Roman" w:eastAsia="Times New Roman" w:hAnsi="Times New Roman" w:cs="Times New Roman"/>
          <w:b/>
          <w:bCs/>
          <w:color w:val="auto"/>
          <w:kern w:val="36"/>
          <w:lang w:eastAsia="ru-RU"/>
        </w:rPr>
        <w:t>ких представлений детей</w:t>
      </w:r>
      <w:r w:rsidR="008E6741" w:rsidRPr="009C1B90">
        <w:rPr>
          <w:rFonts w:ascii="Times New Roman" w:eastAsia="Times New Roman" w:hAnsi="Times New Roman" w:cs="Times New Roman"/>
          <w:b/>
          <w:bCs/>
          <w:color w:val="auto"/>
          <w:kern w:val="36"/>
          <w:lang w:eastAsia="ru-RU"/>
        </w:rPr>
        <w:t xml:space="preserve"> дошкольного возраста</w:t>
      </w:r>
    </w:p>
    <w:p w:rsidR="00A81394" w:rsidRDefault="00A81394" w:rsidP="0094793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6741" w:rsidRDefault="008E6741" w:rsidP="0094793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6741" w:rsidRPr="008E6741" w:rsidRDefault="008E6741" w:rsidP="0094793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E6741" w:rsidRPr="008E6741" w:rsidRDefault="008E6741" w:rsidP="008E67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E674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</w:t>
      </w:r>
      <w:r w:rsidR="00A81394" w:rsidRPr="008E674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дошкольной дидактике имеется достаточное количество разнообразных дидактических материалов, способствующих реализации образовательной области «Элементарные математические представления» учебной программы дошкольного образования. Наиболее эффективным средством являются палочки Кюизенера и блоки Дьенеша.</w:t>
      </w:r>
    </w:p>
    <w:p w:rsidR="008E6741" w:rsidRPr="008E6741" w:rsidRDefault="008E6741" w:rsidP="008E6741">
      <w:pPr>
        <w:spacing w:line="24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</w:t>
      </w:r>
      <w:r w:rsidRPr="008E6741">
        <w:rPr>
          <w:rFonts w:ascii="Times New Roman" w:hAnsi="Times New Roman" w:cs="Times New Roman"/>
          <w:bCs/>
          <w:sz w:val="28"/>
          <w:szCs w:val="28"/>
        </w:rPr>
        <w:t>Палочки Кюизенера позволяют решить задачи развития элементарных математических представлений по следующим разделам: «</w:t>
      </w:r>
      <w:hyperlink r:id="rId4" w:history="1">
        <w:r w:rsidRPr="008E6741">
          <w:rPr>
            <w:rFonts w:ascii="Times New Roman" w:hAnsi="Times New Roman" w:cs="Times New Roman"/>
            <w:bCs/>
            <w:sz w:val="28"/>
            <w:szCs w:val="28"/>
            <w:u w:val="single"/>
          </w:rPr>
          <w:t>Количество и счёт</w:t>
        </w:r>
      </w:hyperlink>
      <w:r w:rsidRPr="008E6741">
        <w:rPr>
          <w:rFonts w:ascii="Times New Roman" w:hAnsi="Times New Roman" w:cs="Times New Roman"/>
          <w:bCs/>
          <w:sz w:val="28"/>
          <w:szCs w:val="28"/>
        </w:rPr>
        <w:t>», «</w:t>
      </w:r>
      <w:hyperlink r:id="rId5" w:history="1">
        <w:r w:rsidRPr="008E6741">
          <w:rPr>
            <w:rFonts w:ascii="Times New Roman" w:hAnsi="Times New Roman" w:cs="Times New Roman"/>
            <w:bCs/>
            <w:sz w:val="28"/>
            <w:szCs w:val="28"/>
            <w:u w:val="single"/>
          </w:rPr>
          <w:t>Величина</w:t>
        </w:r>
      </w:hyperlink>
      <w:r w:rsidRPr="008E6741">
        <w:rPr>
          <w:rFonts w:ascii="Times New Roman" w:hAnsi="Times New Roman" w:cs="Times New Roman"/>
          <w:bCs/>
          <w:sz w:val="28"/>
          <w:szCs w:val="28"/>
        </w:rPr>
        <w:t>», «</w:t>
      </w:r>
      <w:hyperlink r:id="rId6" w:history="1">
        <w:r w:rsidRPr="008E6741">
          <w:rPr>
            <w:rFonts w:ascii="Times New Roman" w:hAnsi="Times New Roman" w:cs="Times New Roman"/>
            <w:bCs/>
            <w:sz w:val="28"/>
            <w:szCs w:val="28"/>
            <w:u w:val="single"/>
          </w:rPr>
          <w:t>Ориентировка в пространстве</w:t>
        </w:r>
      </w:hyperlink>
      <w:r w:rsidRPr="008E6741">
        <w:rPr>
          <w:rFonts w:ascii="Times New Roman" w:hAnsi="Times New Roman" w:cs="Times New Roman"/>
          <w:bCs/>
          <w:sz w:val="28"/>
          <w:szCs w:val="28"/>
        </w:rPr>
        <w:t>», «</w:t>
      </w:r>
      <w:hyperlink r:id="rId7" w:history="1">
        <w:r w:rsidRPr="008E6741">
          <w:rPr>
            <w:rFonts w:ascii="Times New Roman" w:hAnsi="Times New Roman" w:cs="Times New Roman"/>
            <w:bCs/>
            <w:sz w:val="28"/>
            <w:szCs w:val="28"/>
            <w:u w:val="single"/>
          </w:rPr>
          <w:t>Форма</w:t>
        </w:r>
      </w:hyperlink>
      <w:r w:rsidRPr="008E6741">
        <w:rPr>
          <w:rFonts w:ascii="Times New Roman" w:hAnsi="Times New Roman" w:cs="Times New Roman"/>
          <w:bCs/>
          <w:sz w:val="28"/>
          <w:szCs w:val="28"/>
        </w:rPr>
        <w:t>».</w:t>
      </w:r>
    </w:p>
    <w:p w:rsidR="00D7586A" w:rsidRPr="00D7586A" w:rsidRDefault="008E6741" w:rsidP="00A81394">
      <w:pPr>
        <w:pStyle w:val="a5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</w:t>
      </w:r>
      <w:r w:rsidR="00947935">
        <w:rPr>
          <w:rStyle w:val="c0"/>
          <w:color w:val="000000"/>
          <w:sz w:val="28"/>
          <w:szCs w:val="28"/>
        </w:rPr>
        <w:t>Палочки</w:t>
      </w:r>
      <w:r w:rsidR="00D7586A">
        <w:rPr>
          <w:rStyle w:val="c0"/>
          <w:color w:val="000000"/>
          <w:sz w:val="28"/>
          <w:szCs w:val="28"/>
        </w:rPr>
        <w:t xml:space="preserve"> Кюизинера</w:t>
      </w:r>
      <w:r w:rsidR="00947935">
        <w:rPr>
          <w:rStyle w:val="c0"/>
          <w:color w:val="000000"/>
          <w:sz w:val="28"/>
          <w:szCs w:val="28"/>
        </w:rPr>
        <w:t xml:space="preserve"> можно предлагать детям </w:t>
      </w:r>
      <w:r w:rsidR="00947935">
        <w:rPr>
          <w:rStyle w:val="c0"/>
          <w:i/>
          <w:iCs/>
          <w:color w:val="000000"/>
          <w:sz w:val="28"/>
          <w:szCs w:val="28"/>
        </w:rPr>
        <w:t>с трех лет</w:t>
      </w:r>
      <w:r w:rsidR="00947935">
        <w:rPr>
          <w:rStyle w:val="c0"/>
          <w:color w:val="000000"/>
          <w:sz w:val="28"/>
          <w:szCs w:val="28"/>
        </w:rPr>
        <w:t> для выполнения наиболее простых упражнений. Они могут использоваться во второй младшей, средней, старшей и подготовительной группах детского сада. Упражняться с палочками дети могут индивидуально или по нескольку человек, небольшими подгруппами.</w:t>
      </w:r>
      <w:r w:rsidRPr="008E6741">
        <w:rPr>
          <w:rFonts w:asciiTheme="minorHAnsi" w:eastAsiaTheme="minorHAnsi" w:hAnsiTheme="minorHAnsi" w:cstheme="minorBidi"/>
          <w:b/>
          <w:bCs/>
          <w:color w:val="333333"/>
          <w:sz w:val="28"/>
          <w:szCs w:val="28"/>
          <w:lang w:eastAsia="en-US"/>
        </w:rPr>
        <w:t xml:space="preserve"> </w:t>
      </w:r>
      <w:r w:rsidR="00D7586A" w:rsidRPr="00D7586A">
        <w:rPr>
          <w:color w:val="111111"/>
          <w:sz w:val="28"/>
          <w:szCs w:val="28"/>
        </w:rPr>
        <w:t>На начальном этапе занятий палочки Кюизенера используются как игровой материал. Дети играют с ними, как с обычными кубиками, палочками</w:t>
      </w:r>
      <w:r w:rsidR="00D7586A" w:rsidRPr="00D7586A">
        <w:rPr>
          <w:b/>
          <w:bCs/>
          <w:color w:val="111111"/>
          <w:sz w:val="28"/>
          <w:szCs w:val="28"/>
        </w:rPr>
        <w:t>,</w:t>
      </w:r>
      <w:r w:rsidR="00D7586A" w:rsidRPr="00D7586A">
        <w:rPr>
          <w:color w:val="111111"/>
          <w:sz w:val="28"/>
          <w:szCs w:val="28"/>
        </w:rPr>
        <w:t> конструктором, по ходу игр и занятий, знакомясь с цветами, размерами и формами. Их привлекают конкретные образы, а также качественные характеристики </w:t>
      </w:r>
      <w:r w:rsidR="00D7586A" w:rsidRPr="00D7586A">
        <w:rPr>
          <w:color w:val="111111"/>
          <w:sz w:val="28"/>
          <w:szCs w:val="28"/>
          <w:u w:val="single"/>
        </w:rPr>
        <w:t>материала</w:t>
      </w:r>
      <w:r w:rsidR="00D7586A" w:rsidRPr="00D7586A">
        <w:rPr>
          <w:color w:val="111111"/>
          <w:sz w:val="28"/>
          <w:szCs w:val="28"/>
        </w:rPr>
        <w:t>: цвет, размер, форма</w:t>
      </w:r>
      <w:r w:rsidR="00D7586A" w:rsidRPr="00D7586A">
        <w:rPr>
          <w:b/>
          <w:bCs/>
          <w:color w:val="111111"/>
          <w:sz w:val="28"/>
          <w:szCs w:val="28"/>
        </w:rPr>
        <w:t>.</w:t>
      </w:r>
      <w:r w:rsidR="00D7586A" w:rsidRPr="00D7586A">
        <w:rPr>
          <w:color w:val="111111"/>
          <w:sz w:val="28"/>
          <w:szCs w:val="28"/>
        </w:rPr>
        <w:t> Однако, уже во время игры с палочками дети открывают некоторые </w:t>
      </w:r>
      <w:r w:rsidR="00D7586A" w:rsidRPr="00D7586A">
        <w:rPr>
          <w:color w:val="111111"/>
          <w:sz w:val="28"/>
          <w:szCs w:val="28"/>
          <w:u w:val="single"/>
        </w:rPr>
        <w:t>отношения</w:t>
      </w:r>
      <w:r w:rsidR="00D7586A" w:rsidRPr="00D7586A">
        <w:rPr>
          <w:color w:val="111111"/>
          <w:sz w:val="28"/>
          <w:szCs w:val="28"/>
        </w:rPr>
        <w:t>: одинаковость длины палочек</w:t>
      </w:r>
      <w:r w:rsidR="00D7586A" w:rsidRPr="00D7586A">
        <w:rPr>
          <w:b/>
          <w:bCs/>
          <w:color w:val="111111"/>
          <w:sz w:val="28"/>
          <w:szCs w:val="28"/>
        </w:rPr>
        <w:t>,</w:t>
      </w:r>
      <w:r w:rsidR="00D7586A" w:rsidRPr="00D7586A">
        <w:rPr>
          <w:color w:val="111111"/>
          <w:sz w:val="28"/>
          <w:szCs w:val="28"/>
        </w:rPr>
        <w:t> одинаковость сечения и др. На это этапе можно проводить следующие </w:t>
      </w:r>
      <w:r w:rsidR="00D7586A" w:rsidRPr="008E6741">
        <w:rPr>
          <w:color w:val="111111"/>
          <w:sz w:val="28"/>
          <w:szCs w:val="28"/>
        </w:rPr>
        <w:t>игры:</w:t>
      </w:r>
      <w:r w:rsidR="00D7586A" w:rsidRPr="00D7586A">
        <w:rPr>
          <w:color w:val="111111"/>
          <w:sz w:val="28"/>
          <w:szCs w:val="28"/>
        </w:rPr>
        <w:t> </w:t>
      </w:r>
      <w:r w:rsidR="00D7586A" w:rsidRPr="00D7586A">
        <w:rPr>
          <w:i/>
          <w:iCs/>
          <w:color w:val="111111"/>
          <w:sz w:val="28"/>
          <w:szCs w:val="28"/>
        </w:rPr>
        <w:t>«Заборчик»</w:t>
      </w:r>
      <w:r w:rsidR="00D7586A" w:rsidRPr="00D7586A">
        <w:rPr>
          <w:color w:val="111111"/>
          <w:sz w:val="28"/>
          <w:szCs w:val="28"/>
        </w:rPr>
        <w:t>, </w:t>
      </w:r>
      <w:r w:rsidR="00D7586A" w:rsidRPr="00D7586A">
        <w:rPr>
          <w:i/>
          <w:iCs/>
          <w:color w:val="111111"/>
          <w:sz w:val="28"/>
          <w:szCs w:val="28"/>
        </w:rPr>
        <w:t>«Зоопарк»</w:t>
      </w:r>
      <w:r w:rsidR="00D7586A" w:rsidRPr="00D7586A">
        <w:rPr>
          <w:color w:val="111111"/>
          <w:sz w:val="28"/>
          <w:szCs w:val="28"/>
        </w:rPr>
        <w:t>, </w:t>
      </w:r>
      <w:r w:rsidR="00D7586A" w:rsidRPr="00D7586A">
        <w:rPr>
          <w:i/>
          <w:iCs/>
          <w:color w:val="111111"/>
          <w:sz w:val="28"/>
          <w:szCs w:val="28"/>
        </w:rPr>
        <w:t>«Построим мост»</w:t>
      </w:r>
      <w:r w:rsidR="00D7586A" w:rsidRPr="00D7586A">
        <w:rPr>
          <w:color w:val="111111"/>
          <w:sz w:val="28"/>
          <w:szCs w:val="28"/>
        </w:rPr>
        <w:t>, </w:t>
      </w:r>
      <w:r w:rsidR="00D7586A" w:rsidRPr="00D7586A">
        <w:rPr>
          <w:i/>
          <w:iCs/>
          <w:color w:val="111111"/>
          <w:sz w:val="28"/>
          <w:szCs w:val="28"/>
        </w:rPr>
        <w:t>«Покажи такую же»</w:t>
      </w:r>
      <w:r w:rsidR="00D7586A" w:rsidRPr="00D7586A">
        <w:rPr>
          <w:color w:val="111111"/>
          <w:sz w:val="28"/>
          <w:szCs w:val="28"/>
        </w:rPr>
        <w:t>, </w:t>
      </w:r>
      <w:r w:rsidR="00D7586A" w:rsidRPr="00D7586A">
        <w:rPr>
          <w:i/>
          <w:iCs/>
          <w:color w:val="111111"/>
          <w:sz w:val="28"/>
          <w:szCs w:val="28"/>
        </w:rPr>
        <w:t>«Назови цвет»</w:t>
      </w:r>
      <w:r w:rsidR="00D7586A" w:rsidRPr="00D7586A">
        <w:rPr>
          <w:color w:val="111111"/>
          <w:sz w:val="28"/>
          <w:szCs w:val="28"/>
        </w:rPr>
        <w:t>, «Коврик для кошечки».</w:t>
      </w:r>
    </w:p>
    <w:p w:rsidR="00D7586A" w:rsidRPr="00D7586A" w:rsidRDefault="00D7586A" w:rsidP="00A81394">
      <w:pPr>
        <w:pStyle w:val="a5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D7586A">
        <w:rPr>
          <w:color w:val="111111"/>
          <w:sz w:val="28"/>
          <w:szCs w:val="28"/>
        </w:rPr>
        <w:t>В ходе этих игр детей учат различать цвета, сравнивать палочки по цвету, по длине, распо</w:t>
      </w:r>
      <w:r w:rsidR="008E6741">
        <w:rPr>
          <w:color w:val="111111"/>
          <w:sz w:val="28"/>
          <w:szCs w:val="28"/>
        </w:rPr>
        <w:t xml:space="preserve">ложению </w:t>
      </w:r>
      <w:r w:rsidRPr="00D7586A">
        <w:rPr>
          <w:color w:val="111111"/>
          <w:sz w:val="28"/>
          <w:szCs w:val="28"/>
        </w:rPr>
        <w:t>т. е. формируют такие понятия</w:t>
      </w:r>
      <w:r w:rsidRPr="00D7586A">
        <w:rPr>
          <w:b/>
          <w:bCs/>
          <w:color w:val="111111"/>
          <w:sz w:val="28"/>
          <w:szCs w:val="28"/>
        </w:rPr>
        <w:t>, </w:t>
      </w:r>
      <w:r w:rsidRPr="00D7586A">
        <w:rPr>
          <w:color w:val="111111"/>
          <w:sz w:val="28"/>
          <w:szCs w:val="28"/>
        </w:rPr>
        <w:t>как разные», </w:t>
      </w:r>
      <w:r w:rsidRPr="00D7586A">
        <w:rPr>
          <w:i/>
          <w:iCs/>
          <w:color w:val="111111"/>
          <w:sz w:val="28"/>
          <w:szCs w:val="28"/>
        </w:rPr>
        <w:t>«одинаковые»</w:t>
      </w:r>
      <w:r w:rsidRPr="00D7586A">
        <w:rPr>
          <w:color w:val="111111"/>
          <w:sz w:val="28"/>
          <w:szCs w:val="28"/>
        </w:rPr>
        <w:t>, </w:t>
      </w:r>
      <w:r w:rsidRPr="00D7586A">
        <w:rPr>
          <w:i/>
          <w:iCs/>
          <w:color w:val="111111"/>
          <w:sz w:val="28"/>
          <w:szCs w:val="28"/>
        </w:rPr>
        <w:t>«короче»</w:t>
      </w:r>
      <w:r w:rsidRPr="00D7586A">
        <w:rPr>
          <w:color w:val="111111"/>
          <w:sz w:val="28"/>
          <w:szCs w:val="28"/>
        </w:rPr>
        <w:t>, </w:t>
      </w:r>
      <w:r w:rsidRPr="00D7586A">
        <w:rPr>
          <w:i/>
          <w:iCs/>
          <w:color w:val="111111"/>
          <w:sz w:val="28"/>
          <w:szCs w:val="28"/>
        </w:rPr>
        <w:t>«больше»</w:t>
      </w:r>
      <w:r w:rsidRPr="00D7586A">
        <w:rPr>
          <w:color w:val="111111"/>
          <w:sz w:val="28"/>
          <w:szCs w:val="28"/>
        </w:rPr>
        <w:t>, </w:t>
      </w:r>
      <w:r w:rsidRPr="00D7586A">
        <w:rPr>
          <w:i/>
          <w:iCs/>
          <w:color w:val="111111"/>
          <w:sz w:val="28"/>
          <w:szCs w:val="28"/>
        </w:rPr>
        <w:t>«меньше»</w:t>
      </w:r>
      <w:r w:rsidRPr="00D7586A">
        <w:rPr>
          <w:color w:val="111111"/>
          <w:sz w:val="28"/>
          <w:szCs w:val="28"/>
        </w:rPr>
        <w:t>, </w:t>
      </w:r>
      <w:r w:rsidRPr="00D7586A">
        <w:rPr>
          <w:i/>
          <w:iCs/>
          <w:color w:val="111111"/>
          <w:sz w:val="28"/>
          <w:szCs w:val="28"/>
        </w:rPr>
        <w:t>«между»</w:t>
      </w:r>
      <w:r w:rsidRPr="00D7586A">
        <w:rPr>
          <w:color w:val="111111"/>
          <w:sz w:val="28"/>
          <w:szCs w:val="28"/>
        </w:rPr>
        <w:t> и т. д.)</w:t>
      </w:r>
    </w:p>
    <w:p w:rsidR="00D7586A" w:rsidRPr="00D7586A" w:rsidRDefault="00D7586A" w:rsidP="00A81394">
      <w:pPr>
        <w:pStyle w:val="a5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D7586A">
        <w:rPr>
          <w:color w:val="111111"/>
          <w:sz w:val="28"/>
          <w:szCs w:val="28"/>
        </w:rPr>
        <w:t>Для обучения детей различать, чередовать, группировать предметы по величине – использую игры: </w:t>
      </w:r>
      <w:r w:rsidRPr="00D7586A">
        <w:rPr>
          <w:i/>
          <w:iCs/>
          <w:color w:val="111111"/>
          <w:sz w:val="28"/>
          <w:szCs w:val="28"/>
        </w:rPr>
        <w:t>«Длинные и короткие»</w:t>
      </w:r>
      <w:r w:rsidRPr="00D7586A">
        <w:rPr>
          <w:color w:val="111111"/>
          <w:sz w:val="28"/>
          <w:szCs w:val="28"/>
        </w:rPr>
        <w:t>, </w:t>
      </w:r>
      <w:r w:rsidRPr="00D7586A">
        <w:rPr>
          <w:i/>
          <w:iCs/>
          <w:color w:val="111111"/>
          <w:sz w:val="28"/>
          <w:szCs w:val="28"/>
        </w:rPr>
        <w:t>«Какая палочка длиннее?»</w:t>
      </w:r>
      <w:r w:rsidRPr="00D7586A">
        <w:rPr>
          <w:color w:val="111111"/>
          <w:sz w:val="28"/>
          <w:szCs w:val="28"/>
        </w:rPr>
        <w:t>; для обучения детей группировать предметы по форме</w:t>
      </w:r>
      <w:r w:rsidRPr="00D7586A">
        <w:rPr>
          <w:b/>
          <w:bCs/>
          <w:color w:val="111111"/>
          <w:sz w:val="28"/>
          <w:szCs w:val="28"/>
        </w:rPr>
        <w:t>:</w:t>
      </w:r>
      <w:r w:rsidRPr="00D7586A">
        <w:rPr>
          <w:color w:val="111111"/>
          <w:sz w:val="28"/>
          <w:szCs w:val="28"/>
        </w:rPr>
        <w:t> </w:t>
      </w:r>
      <w:r w:rsidRPr="00D7586A">
        <w:rPr>
          <w:i/>
          <w:iCs/>
          <w:color w:val="111111"/>
          <w:sz w:val="28"/>
          <w:szCs w:val="28"/>
        </w:rPr>
        <w:t>«Какой это формы»</w:t>
      </w:r>
      <w:r w:rsidRPr="00D7586A">
        <w:rPr>
          <w:color w:val="111111"/>
          <w:sz w:val="28"/>
          <w:szCs w:val="28"/>
        </w:rPr>
        <w:t>, </w:t>
      </w:r>
      <w:r w:rsidRPr="00D7586A">
        <w:rPr>
          <w:i/>
          <w:iCs/>
          <w:color w:val="111111"/>
          <w:sz w:val="28"/>
          <w:szCs w:val="28"/>
        </w:rPr>
        <w:t>«Волшебная коробочка»</w:t>
      </w:r>
      <w:r w:rsidRPr="00D7586A">
        <w:rPr>
          <w:color w:val="111111"/>
          <w:sz w:val="28"/>
          <w:szCs w:val="28"/>
        </w:rPr>
        <w:t>; для обучения группировать, соотносить предметы по </w:t>
      </w:r>
      <w:r w:rsidRPr="00D7586A">
        <w:rPr>
          <w:color w:val="111111"/>
          <w:sz w:val="28"/>
          <w:szCs w:val="28"/>
          <w:u w:val="single"/>
        </w:rPr>
        <w:t>цвету</w:t>
      </w:r>
      <w:r w:rsidRPr="00D7586A">
        <w:rPr>
          <w:color w:val="111111"/>
          <w:sz w:val="28"/>
          <w:szCs w:val="28"/>
        </w:rPr>
        <w:t>:</w:t>
      </w:r>
      <w:r w:rsidRPr="00D7586A">
        <w:rPr>
          <w:i/>
          <w:iCs/>
          <w:color w:val="111111"/>
          <w:sz w:val="28"/>
          <w:szCs w:val="28"/>
        </w:rPr>
        <w:t>«Найди свой цвет»</w:t>
      </w:r>
      <w:r w:rsidRPr="00D7586A">
        <w:rPr>
          <w:color w:val="111111"/>
          <w:sz w:val="28"/>
          <w:szCs w:val="28"/>
        </w:rPr>
        <w:t>; для закрепления качеств предметов </w:t>
      </w:r>
      <w:r w:rsidRPr="00D7586A">
        <w:rPr>
          <w:i/>
          <w:iCs/>
          <w:color w:val="111111"/>
          <w:sz w:val="28"/>
          <w:szCs w:val="28"/>
        </w:rPr>
        <w:t>(величина, форма,цвет)</w:t>
      </w:r>
      <w:r w:rsidRPr="00D7586A">
        <w:rPr>
          <w:color w:val="111111"/>
          <w:sz w:val="28"/>
          <w:szCs w:val="28"/>
        </w:rPr>
        <w:t>: </w:t>
      </w:r>
      <w:r w:rsidRPr="00D7586A">
        <w:rPr>
          <w:i/>
          <w:iCs/>
          <w:color w:val="111111"/>
          <w:sz w:val="28"/>
          <w:szCs w:val="28"/>
        </w:rPr>
        <w:t>«Собери пирамидку»</w:t>
      </w:r>
      <w:r w:rsidRPr="00D7586A">
        <w:rPr>
          <w:color w:val="111111"/>
          <w:sz w:val="28"/>
          <w:szCs w:val="28"/>
        </w:rPr>
        <w:t>, </w:t>
      </w:r>
      <w:r w:rsidRPr="00D7586A">
        <w:rPr>
          <w:i/>
          <w:iCs/>
          <w:color w:val="111111"/>
          <w:sz w:val="28"/>
          <w:szCs w:val="28"/>
        </w:rPr>
        <w:t>«Построй башенку»</w:t>
      </w:r>
      <w:r w:rsidRPr="00D7586A">
        <w:rPr>
          <w:color w:val="111111"/>
          <w:sz w:val="28"/>
          <w:szCs w:val="28"/>
        </w:rPr>
        <w:t>, также используем игры с предметами.</w:t>
      </w:r>
    </w:p>
    <w:p w:rsidR="00947935" w:rsidRDefault="00947935" w:rsidP="00A81394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947935" w:rsidRDefault="00D7586A" w:rsidP="00A81394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</w:t>
      </w:r>
    </w:p>
    <w:p w:rsidR="00947935" w:rsidRDefault="00D7586A" w:rsidP="00A81394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</w:t>
      </w:r>
    </w:p>
    <w:p w:rsidR="00947935" w:rsidRDefault="00947935" w:rsidP="00A81394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   На </w:t>
      </w:r>
      <w:r>
        <w:rPr>
          <w:rStyle w:val="c0"/>
          <w:i/>
          <w:iCs/>
          <w:color w:val="000000"/>
          <w:sz w:val="28"/>
          <w:szCs w:val="28"/>
        </w:rPr>
        <w:t>втором этапе</w:t>
      </w:r>
      <w:r>
        <w:rPr>
          <w:rStyle w:val="c0"/>
          <w:color w:val="000000"/>
          <w:sz w:val="28"/>
          <w:szCs w:val="28"/>
        </w:rPr>
        <w:t> палочки выступают уже как средство обучения арифметике. Пространственно-количественные характеристики не столь очевидны для детей, как цвет, ф</w:t>
      </w:r>
      <w:r w:rsidR="00D7586A">
        <w:rPr>
          <w:rStyle w:val="c0"/>
          <w:color w:val="000000"/>
          <w:sz w:val="28"/>
          <w:szCs w:val="28"/>
        </w:rPr>
        <w:t xml:space="preserve">орма, размер. </w:t>
      </w:r>
    </w:p>
    <w:p w:rsidR="00D7586A" w:rsidRPr="00D7586A" w:rsidRDefault="00D7586A" w:rsidP="00A81394">
      <w:pPr>
        <w:pStyle w:val="a5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Pr="00D7586A">
        <w:rPr>
          <w:color w:val="000000"/>
          <w:sz w:val="28"/>
          <w:szCs w:val="28"/>
        </w:rPr>
        <w:t>Палочки Кюизенера идеально подходят для знакомства ребенка с математикой, они помогут ребенку научиться: различать расположение предметов в пространстве (впереди, сзади, между, посередине, справа, слева, внизу, вверху); осознать математические понятия («число», «больше», «меньше», «столько же», «фигура», «треугольник» и т.д.), сформировать представление о соотношении цифры и числа, количества; осуществлять разбор числа на составные части и определение предыдущего и последующего числа в пределах первого десятка; освоить навыки – сложение и вычитание; с помощью палочек полезно также составлять буквы и цифры. При этом происходит сопоставление понятия и символа.</w:t>
      </w:r>
    </w:p>
    <w:p w:rsidR="00D7586A" w:rsidRPr="00D7586A" w:rsidRDefault="00D7586A" w:rsidP="00A813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586A">
        <w:rPr>
          <w:color w:val="000000"/>
          <w:sz w:val="28"/>
          <w:szCs w:val="28"/>
        </w:rPr>
        <w:t>        </w:t>
      </w:r>
    </w:p>
    <w:p w:rsidR="009C1B90" w:rsidRPr="00184B1E" w:rsidRDefault="009C1B90" w:rsidP="00184B1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9C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Логические блоки могут широко использоваться при ознакомлении детей, начиная с раннего возраста, с формами предметов и геометрическими фигурами при решении многих других развивающих задач, так как они представляют собой эталоны форм — геометрических фигур (круг, квадрат, </w:t>
      </w:r>
      <w:r w:rsidRPr="00184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равносторонний треугольник, прямоугольник).</w:t>
      </w:r>
    </w:p>
    <w:p w:rsidR="00184B1E" w:rsidRPr="00184B1E" w:rsidRDefault="00184B1E" w:rsidP="00184B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4B1E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184B1E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гры с блоками Дьенеша можно предъявлять детям в следующей последовательности:</w:t>
      </w:r>
      <w:r w:rsidRPr="00184B1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84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184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конструирование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84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моделирование</w:t>
      </w:r>
      <w:r w:rsidRPr="00184B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изучение цвета</w:t>
      </w:r>
      <w:r w:rsidRPr="00184B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изучение форм</w:t>
      </w:r>
      <w:r w:rsidRPr="00184B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изучение свойств </w:t>
      </w:r>
      <w:r w:rsidRPr="00184B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сравнение, классификация и обобщение</w:t>
      </w:r>
      <w:r w:rsidRPr="00184B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работа с карточками свойств</w:t>
      </w:r>
      <w:r w:rsidRPr="00184B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выполнение логических заданий и построение алгоритмов.</w:t>
      </w:r>
    </w:p>
    <w:p w:rsidR="00184B1E" w:rsidRPr="00184B1E" w:rsidRDefault="00184B1E" w:rsidP="00184B1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6741" w:rsidRPr="00947935" w:rsidRDefault="009C1B90" w:rsidP="008E67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 </w:t>
      </w:r>
      <w:r w:rsidR="008E6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E6741" w:rsidRPr="0094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Первую стадию овладения математическими умениями Дьенеш назвал свободной игрой. Педагог позволял детям идти путем проб и ошибок. Ребенку дается какая-либо доступная для его возраста задача, но строгая инструкция по выполнению отсутствует. Поэтому малыш перебирает варианты, пока не прид</w:t>
      </w:r>
      <w:r w:rsidR="008E6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 к нужному результату</w:t>
      </w:r>
      <w:r w:rsidR="008E6741" w:rsidRPr="009C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E6741" w:rsidRPr="0094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 из главных целей – знакомство ребенка со свойствами предметов – цветом, формой, размером, толщиной.</w:t>
      </w:r>
      <w:r w:rsidR="008E6741" w:rsidRPr="00947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741" w:rsidRDefault="008E6741" w:rsidP="008E674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втором этапе в деятельность ребенка входят правила. Они вносят ясность и подсказывают ему, как же все-таки следует решать задачу. Педагог старается донести эти правила в простой и интересной форме. Без них ребенок не может решить задачу от начала до конца.</w:t>
      </w:r>
    </w:p>
    <w:p w:rsidR="008E6741" w:rsidRPr="00947935" w:rsidRDefault="008E6741" w:rsidP="008E6741">
      <w:pPr>
        <w:jc w:val="both"/>
        <w:rPr>
          <w:rFonts w:ascii="Times New Roman" w:hAnsi="Times New Roman" w:cs="Times New Roman"/>
          <w:sz w:val="28"/>
          <w:szCs w:val="28"/>
        </w:rPr>
      </w:pPr>
      <w:r w:rsidRPr="0094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этом этапе производится также сравнение фигурок по их характеристикам. </w:t>
      </w:r>
      <w:r w:rsidRPr="00947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741" w:rsidRDefault="008E6741" w:rsidP="008E674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третьем этапе детей учат сравнивать.</w:t>
      </w:r>
    </w:p>
    <w:p w:rsidR="008E6741" w:rsidRDefault="008E6741" w:rsidP="008E674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Но не фигурки, 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</w:t>
      </w:r>
      <w:r w:rsidRPr="0094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Ребенок должен прийти к выводу, что правила одни и те же независимо от материала. Это развивает абстрактное мышление и помогает отделить алгоритм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E6741" w:rsidRDefault="008E6741" w:rsidP="008E674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четвертой стадии ребенок в ходе игр знакомится с абстрактным смыслом чисел. Сейчас вполне уместны диаграммы, схемы игр и несложн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ые таблицы. </w:t>
      </w:r>
    </w:p>
    <w:p w:rsidR="008E6741" w:rsidRPr="00947935" w:rsidRDefault="008E6741" w:rsidP="008E6741">
      <w:pPr>
        <w:jc w:val="both"/>
        <w:rPr>
          <w:rFonts w:ascii="Times New Roman" w:hAnsi="Times New Roman" w:cs="Times New Roman"/>
          <w:sz w:val="28"/>
          <w:szCs w:val="28"/>
        </w:rPr>
      </w:pPr>
      <w:r w:rsidRPr="0094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пятом этапе детей учат понимать, что два или более шагов могут приводить к одному и тому же результату. Это тоже осуществляется на играх с блоками Дьенеша. Для описания карт игры используются специальные символы. Дети и сами создают свои условные обозначения.  действия от материала, с которым эти действия проводятся.</w:t>
      </w:r>
      <w:r w:rsidRPr="00947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741" w:rsidRDefault="008E6741" w:rsidP="008E6741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94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Блоки Дьенеша помогают лучше осознать, что такое цвет, форма, толщина, размер. Знакомят они и с пространственными отношениями. В дальнейшем работа с блоками поможет в решении учебных задач. </w:t>
      </w:r>
      <w:r w:rsidRPr="00947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741" w:rsidRDefault="008E6741" w:rsidP="008E6741">
      <w:pPr>
        <w:pStyle w:val="a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 </w:t>
      </w:r>
    </w:p>
    <w:p w:rsidR="00947935" w:rsidRPr="00184B1E" w:rsidRDefault="00184B1E" w:rsidP="00184B1E">
      <w:pPr>
        <w:spacing w:line="240" w:lineRule="auto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84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184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гры с блоками Дьенеша</w:t>
      </w:r>
      <w:r w:rsidRPr="00184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палочками Кюизенера</w:t>
      </w:r>
      <w:r w:rsidRPr="00184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станут хорошими помощниками при математической подготовке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школе. </w:t>
      </w:r>
    </w:p>
    <w:p w:rsidR="00184B1E" w:rsidRPr="00184B1E" w:rsidRDefault="00184B1E" w:rsidP="00184B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84B1E" w:rsidRPr="0018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68"/>
    <w:rsid w:val="00184B1E"/>
    <w:rsid w:val="006070EA"/>
    <w:rsid w:val="008E6741"/>
    <w:rsid w:val="00947935"/>
    <w:rsid w:val="009C1B90"/>
    <w:rsid w:val="00A81394"/>
    <w:rsid w:val="00BD7E68"/>
    <w:rsid w:val="00D7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44CD1-06FC-43E4-84C6-3C1304D1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7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70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70EA"/>
    <w:rPr>
      <w:color w:val="954F72" w:themeColor="followedHyperlink"/>
      <w:u w:val="single"/>
    </w:rPr>
  </w:style>
  <w:style w:type="paragraph" w:customStyle="1" w:styleId="c3">
    <w:name w:val="c3"/>
    <w:basedOn w:val="a"/>
    <w:rsid w:val="00947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7935"/>
  </w:style>
  <w:style w:type="paragraph" w:styleId="a5">
    <w:name w:val="Normal (Web)"/>
    <w:basedOn w:val="a"/>
    <w:uiPriority w:val="99"/>
    <w:unhideWhenUsed/>
    <w:rsid w:val="00D75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67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Strong"/>
    <w:basedOn w:val="a0"/>
    <w:uiPriority w:val="22"/>
    <w:qFormat/>
    <w:rsid w:val="00184B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7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vscolu.ru/matematika/igrovye-uprazhneniya-po-matematike-dlya-detej-starshej-gruppy.html&amp;sa=D&amp;ust=1592905119817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vscolu.ru/content/%25D0%259E%25D1%2580%25D0%25B8%25D0%25B5%25D0%25BD%25D1%2582%25D0%25B8%25D1%2580%25D0%25BE%25D0%25B2%25D0%25BA%25D0%25B0.pdf&amp;sa=D&amp;ust=1592905119817000" TargetMode="External"/><Relationship Id="rId5" Type="http://schemas.openxmlformats.org/officeDocument/2006/relationships/hyperlink" Target="https://www.google.com/url?q=https://vscolu.ru/matematika/igrovye-uprazhneniya-po-matematike-dlya-detej-srednej-gruppy.html&amp;sa=D&amp;ust=1592905119816000" TargetMode="External"/><Relationship Id="rId4" Type="http://schemas.openxmlformats.org/officeDocument/2006/relationships/hyperlink" Target="https://www.google.com/url?q=https://vscolu.ru/content/matematika_4_5.pdf&amp;sa=D&amp;ust=15929051198160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</cp:revision>
  <dcterms:created xsi:type="dcterms:W3CDTF">2022-01-12T18:53:00Z</dcterms:created>
  <dcterms:modified xsi:type="dcterms:W3CDTF">2022-01-12T20:06:00Z</dcterms:modified>
</cp:coreProperties>
</file>